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C6BE5BF" w14:textId="6DC3648C" w:rsidR="00B1633E" w:rsidRPr="000F3D25" w:rsidRDefault="00B1633E" w:rsidP="000F3D25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bCs/>
          <w:sz w:val="20"/>
        </w:rPr>
      </w:pPr>
      <w:r w:rsidRPr="006117A9">
        <w:rPr>
          <w:rFonts w:asciiTheme="minorHAnsi" w:hAnsiTheme="minorHAnsi" w:cstheme="minorHAnsi"/>
          <w:b/>
          <w:sz w:val="20"/>
        </w:rPr>
        <w:t>Przedmiot oferty :</w:t>
      </w:r>
      <w:r w:rsidR="00092017" w:rsidRPr="006117A9">
        <w:rPr>
          <w:rFonts w:asciiTheme="minorHAnsi" w:hAnsiTheme="minorHAnsi" w:cstheme="minorHAnsi"/>
          <w:b/>
          <w:sz w:val="20"/>
        </w:rPr>
        <w:t xml:space="preserve"> </w:t>
      </w:r>
      <w:r w:rsidR="009137F5">
        <w:rPr>
          <w:rFonts w:asciiTheme="minorHAnsi" w:hAnsiTheme="minorHAnsi" w:cstheme="minorHAnsi"/>
          <w:b/>
          <w:sz w:val="20"/>
        </w:rPr>
        <w:t>Aparat USG</w:t>
      </w:r>
      <w:r w:rsidR="00092017" w:rsidRPr="006117A9">
        <w:rPr>
          <w:rFonts w:asciiTheme="minorHAnsi" w:hAnsiTheme="minorHAnsi" w:cstheme="minorHAnsi"/>
          <w:b/>
          <w:sz w:val="20"/>
        </w:rPr>
        <w:t xml:space="preserve"> – 1 sztuka</w:t>
      </w:r>
      <w:r w:rsidRPr="006117A9">
        <w:rPr>
          <w:rFonts w:asciiTheme="minorHAnsi" w:hAnsiTheme="minorHAnsi" w:cstheme="minorHAnsi"/>
          <w:b/>
          <w:sz w:val="20"/>
        </w:rPr>
        <w:tab/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2241D5A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</w:t>
            </w:r>
            <w:r w:rsid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wymagany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217A1D23" w:rsidR="00BF3FD3" w:rsidRPr="006117A9" w:rsidRDefault="004A60F4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Parametr </w:t>
            </w:r>
            <w:r w:rsidR="002F5A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oferowan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y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77777777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BF3FD3" w:rsidRPr="006117A9" w14:paraId="1E341ED3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1033434A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19A937B1" w14:textId="77777777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 xml:space="preserve">Nazwa urządzenia </w:t>
            </w:r>
          </w:p>
        </w:tc>
        <w:tc>
          <w:tcPr>
            <w:tcW w:w="1940" w:type="dxa"/>
            <w:shd w:val="clear" w:color="auto" w:fill="auto"/>
          </w:tcPr>
          <w:p w14:paraId="0BCA318F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66DBED86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EADDF09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508F42C4" w14:textId="77777777" w:rsidR="00BF3FD3" w:rsidRPr="006117A9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301494C" w14:textId="7B675E94" w:rsidR="00BF3FD3" w:rsidRPr="000F3D25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Typ urządzenia</w:t>
            </w:r>
            <w:r w:rsidR="004A60F4">
              <w:rPr>
                <w:rFonts w:asciiTheme="minorHAnsi" w:hAnsiTheme="minorHAnsi" w:cstheme="minorHAnsi"/>
                <w:sz w:val="22"/>
                <w:szCs w:val="22"/>
              </w:rPr>
              <w:t>, numer katalogowy</w:t>
            </w:r>
          </w:p>
        </w:tc>
        <w:tc>
          <w:tcPr>
            <w:tcW w:w="1940" w:type="dxa"/>
            <w:shd w:val="clear" w:color="auto" w:fill="auto"/>
          </w:tcPr>
          <w:p w14:paraId="0365B843" w14:textId="77777777" w:rsidR="00BF3FD3" w:rsidRPr="006117A9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05A9909" w14:textId="77777777" w:rsidR="00BF3FD3" w:rsidRPr="006117A9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531797AA" w14:textId="77777777" w:rsidTr="00120B99">
        <w:trPr>
          <w:trHeight w:val="173"/>
        </w:trPr>
        <w:tc>
          <w:tcPr>
            <w:tcW w:w="833" w:type="dxa"/>
            <w:vAlign w:val="center"/>
          </w:tcPr>
          <w:p w14:paraId="4F524458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2214C946" w14:textId="77777777" w:rsidR="00BF3FD3" w:rsidRPr="004A60F4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Producent</w:t>
            </w:r>
          </w:p>
        </w:tc>
        <w:tc>
          <w:tcPr>
            <w:tcW w:w="1940" w:type="dxa"/>
            <w:shd w:val="clear" w:color="auto" w:fill="auto"/>
          </w:tcPr>
          <w:p w14:paraId="127A4C16" w14:textId="77777777" w:rsidR="00BF3FD3" w:rsidRPr="004A60F4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8C5B0AB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015CD9EB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4B22453A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</w:tcPr>
          <w:p w14:paraId="7CC68E32" w14:textId="77777777" w:rsidR="00BF3FD3" w:rsidRPr="004A60F4" w:rsidRDefault="00BF3FD3" w:rsidP="00BF3FD3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Kraj pochodzenia</w:t>
            </w:r>
          </w:p>
        </w:tc>
        <w:tc>
          <w:tcPr>
            <w:tcW w:w="1940" w:type="dxa"/>
            <w:shd w:val="clear" w:color="auto" w:fill="auto"/>
          </w:tcPr>
          <w:p w14:paraId="684A02FB" w14:textId="77777777" w:rsidR="00BF3FD3" w:rsidRPr="004A60F4" w:rsidRDefault="00BF3FD3" w:rsidP="00BF3FD3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7A6149E5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FD3" w:rsidRPr="006117A9" w14:paraId="6B83DD1E" w14:textId="77777777" w:rsidTr="00DB5F15">
        <w:trPr>
          <w:trHeight w:val="150"/>
        </w:trPr>
        <w:tc>
          <w:tcPr>
            <w:tcW w:w="833" w:type="dxa"/>
            <w:vAlign w:val="center"/>
          </w:tcPr>
          <w:p w14:paraId="6220CC6F" w14:textId="77777777" w:rsidR="00BF3FD3" w:rsidRPr="004A60F4" w:rsidRDefault="00BF3FD3" w:rsidP="00BB5306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3207A7D9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Rok produkcji </w:t>
            </w:r>
            <w:r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20</w:t>
            </w:r>
            <w:r w:rsidR="00AD1114"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="0002060D" w:rsidRPr="004A60F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, urządzenie fabrycznie nowe, nie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rekondycjonowane</w:t>
            </w:r>
            <w:proofErr w:type="spellEnd"/>
          </w:p>
        </w:tc>
        <w:tc>
          <w:tcPr>
            <w:tcW w:w="1940" w:type="dxa"/>
            <w:shd w:val="clear" w:color="auto" w:fill="auto"/>
            <w:vAlign w:val="center"/>
          </w:tcPr>
          <w:p w14:paraId="4D4AEC59" w14:textId="77777777" w:rsidR="00BF3FD3" w:rsidRPr="004A60F4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59F11E" w14:textId="77777777" w:rsidR="00BF3FD3" w:rsidRPr="004A60F4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3F53921B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36E203B0" w14:textId="77777777" w:rsidR="004A60F4" w:rsidRPr="004A60F4" w:rsidRDefault="004A60F4" w:rsidP="004A60F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7B454AD" w14:textId="181E4BBF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Mobilny aparat USG</w:t>
            </w:r>
          </w:p>
        </w:tc>
        <w:tc>
          <w:tcPr>
            <w:tcW w:w="1940" w:type="dxa"/>
            <w:vAlign w:val="center"/>
          </w:tcPr>
          <w:p w14:paraId="7C212D3D" w14:textId="5D4CAA2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16670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359D98A0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1EC81600" w14:textId="77777777" w:rsidR="004A60F4" w:rsidRPr="004A60F4" w:rsidRDefault="004A60F4" w:rsidP="004A60F4">
            <w:pPr>
              <w:numPr>
                <w:ilvl w:val="1"/>
                <w:numId w:val="30"/>
              </w:numPr>
              <w:tabs>
                <w:tab w:val="clear" w:pos="0"/>
                <w:tab w:val="num" w:pos="27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D00B991" w14:textId="6127F30E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Maksymalna dopuszczalna waga aparatu bez głowic max 65 kg</w:t>
            </w:r>
          </w:p>
        </w:tc>
        <w:tc>
          <w:tcPr>
            <w:tcW w:w="1940" w:type="dxa"/>
            <w:vAlign w:val="center"/>
          </w:tcPr>
          <w:p w14:paraId="1FDBD907" w14:textId="54A440F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021A401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520BA445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1B33A2F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26FF30A0" w14:textId="3C5D3E9D" w:rsidR="004A60F4" w:rsidRPr="004A60F4" w:rsidRDefault="004A60F4" w:rsidP="004A60F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Aparat wyposażony w 4 koła skrętne z możliwością ich blokowania</w:t>
            </w:r>
          </w:p>
        </w:tc>
        <w:tc>
          <w:tcPr>
            <w:tcW w:w="1940" w:type="dxa"/>
            <w:vAlign w:val="center"/>
          </w:tcPr>
          <w:p w14:paraId="26F936A1" w14:textId="6037E2A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1B1836C" w14:textId="0D55C1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852D673" w14:textId="77777777" w:rsidTr="00A03BFD">
        <w:trPr>
          <w:trHeight w:val="150"/>
        </w:trPr>
        <w:tc>
          <w:tcPr>
            <w:tcW w:w="833" w:type="dxa"/>
            <w:vAlign w:val="center"/>
          </w:tcPr>
          <w:p w14:paraId="09DD8D5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382EDAA" w14:textId="5AFFF84A" w:rsidR="004A60F4" w:rsidRPr="004A60F4" w:rsidRDefault="004A60F4" w:rsidP="004A60F4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Aparat wyposażony w 2 uchwyty, zlokalizowane z przodu i z tyłu systemu USG, ułatwiające transport urządzenia</w:t>
            </w:r>
          </w:p>
        </w:tc>
        <w:tc>
          <w:tcPr>
            <w:tcW w:w="1940" w:type="dxa"/>
            <w:vAlign w:val="center"/>
          </w:tcPr>
          <w:p w14:paraId="20E43DB2" w14:textId="28E508E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F1F8C36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51FC4A76" w14:textId="77777777" w:rsidTr="00A03BFD">
        <w:trPr>
          <w:trHeight w:val="494"/>
        </w:trPr>
        <w:tc>
          <w:tcPr>
            <w:tcW w:w="833" w:type="dxa"/>
            <w:vAlign w:val="center"/>
          </w:tcPr>
          <w:p w14:paraId="0CF9C3B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4D6C17C" w14:textId="7592329E" w:rsidR="004A60F4" w:rsidRPr="004A60F4" w:rsidRDefault="004A60F4" w:rsidP="004A60F4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Zakres częstotliwości pracy min. 2,0-18,0 MHz</w:t>
            </w:r>
          </w:p>
        </w:tc>
        <w:tc>
          <w:tcPr>
            <w:tcW w:w="1940" w:type="dxa"/>
            <w:vAlign w:val="center"/>
          </w:tcPr>
          <w:p w14:paraId="1DC9A91C" w14:textId="04ACCEE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405241D" w14:textId="77777777" w:rsidTr="00A03BFD">
        <w:trPr>
          <w:trHeight w:val="288"/>
        </w:trPr>
        <w:tc>
          <w:tcPr>
            <w:tcW w:w="833" w:type="dxa"/>
            <w:vAlign w:val="center"/>
          </w:tcPr>
          <w:p w14:paraId="56C17E1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80FF1EE" w14:textId="748A8FB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Dynamika systemu min. 180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1940" w:type="dxa"/>
            <w:vAlign w:val="center"/>
          </w:tcPr>
          <w:p w14:paraId="76C117AA" w14:textId="02B76B5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4A8152EE" w14:textId="77777777" w:rsidTr="00A03BFD">
        <w:trPr>
          <w:trHeight w:val="109"/>
        </w:trPr>
        <w:tc>
          <w:tcPr>
            <w:tcW w:w="833" w:type="dxa"/>
            <w:vAlign w:val="center"/>
          </w:tcPr>
          <w:p w14:paraId="74473B35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BB755D0" w14:textId="519DD420" w:rsidR="004A60F4" w:rsidRPr="004A60F4" w:rsidRDefault="004A60F4" w:rsidP="004A60F4">
            <w:pPr>
              <w:widowControl w:val="0"/>
              <w:ind w:right="141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gniazd w aparacie min. 3</w:t>
            </w:r>
          </w:p>
        </w:tc>
        <w:tc>
          <w:tcPr>
            <w:tcW w:w="1940" w:type="dxa"/>
            <w:vAlign w:val="center"/>
          </w:tcPr>
          <w:p w14:paraId="73640C9D" w14:textId="2EDFC29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044CD35" w14:textId="77777777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A60F4" w:rsidRPr="006117A9" w14:paraId="24715EB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E5744C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4F6A211" w14:textId="5938179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Monitor TFT o przekątnej min. 18 cali</w:t>
            </w:r>
          </w:p>
        </w:tc>
        <w:tc>
          <w:tcPr>
            <w:tcW w:w="1940" w:type="dxa"/>
            <w:vAlign w:val="center"/>
          </w:tcPr>
          <w:p w14:paraId="14B45838" w14:textId="57ED7FF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5A9215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D59388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183B8E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255966B0" w14:textId="4D53734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ustawienia monitora zarówno w orientacji pionowej jak i poziomej</w:t>
            </w:r>
          </w:p>
        </w:tc>
        <w:tc>
          <w:tcPr>
            <w:tcW w:w="1940" w:type="dxa"/>
            <w:vAlign w:val="center"/>
          </w:tcPr>
          <w:p w14:paraId="71C52F92" w14:textId="157A8CB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4BEF8BD" w14:textId="712F4C54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0F8BC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320087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EF0DB85" w14:textId="1975101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Gniazda głowic zlokalizowane z boku obudowy systemu</w:t>
            </w:r>
          </w:p>
        </w:tc>
        <w:tc>
          <w:tcPr>
            <w:tcW w:w="1940" w:type="dxa"/>
            <w:vAlign w:val="center"/>
          </w:tcPr>
          <w:p w14:paraId="792282EA" w14:textId="3AF7F4E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C0536A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7F6E69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93CAA4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75DC082" w14:textId="557A85D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wysokości monitora min. 25 cm.</w:t>
            </w:r>
          </w:p>
        </w:tc>
        <w:tc>
          <w:tcPr>
            <w:tcW w:w="1940" w:type="dxa"/>
            <w:vAlign w:val="center"/>
          </w:tcPr>
          <w:p w14:paraId="72AF1D15" w14:textId="586CD5E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2FB910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0519B3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340B07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3BF28A3" w14:textId="6257E2F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wysokości panelu sterowania min. 25 cm.</w:t>
            </w:r>
          </w:p>
        </w:tc>
        <w:tc>
          <w:tcPr>
            <w:tcW w:w="1940" w:type="dxa"/>
            <w:vAlign w:val="center"/>
          </w:tcPr>
          <w:p w14:paraId="6786D9C4" w14:textId="60AB70A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B5D2B44" w14:textId="6B66D466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574346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9757E9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855041" w14:textId="2C0D9CB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Dotykowy panel sterowania wykonany z wytrzymałego szkła zapewniający szczelność i ułatwiający czyszczenie i dezynfekcję o wymiarze min. 14 cali</w:t>
            </w:r>
          </w:p>
        </w:tc>
        <w:tc>
          <w:tcPr>
            <w:tcW w:w="1940" w:type="dxa"/>
            <w:vAlign w:val="center"/>
          </w:tcPr>
          <w:p w14:paraId="14647D58" w14:textId="214227D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E29677E" w14:textId="2B398B84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099449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215EE8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E6BBCE8" w14:textId="01FE6920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Dotykowy panel sterowania umożliwiający dostosowanie jego zawartości do potrzeb 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użytkownika poprzez dodawanie i usuwanie klawiszy, a także ich modyfikację</w:t>
            </w:r>
          </w:p>
        </w:tc>
        <w:tc>
          <w:tcPr>
            <w:tcW w:w="1940" w:type="dxa"/>
            <w:vAlign w:val="center"/>
          </w:tcPr>
          <w:p w14:paraId="463AD54A" w14:textId="1813AF3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5A155CE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40A0F2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DB7A88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9C9B540" w14:textId="4634B7FB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Dotykowy interaktywny i podświetlany panel sterowania wykonany z wytrzymałego szkła z funkcją blokady</w:t>
            </w:r>
          </w:p>
        </w:tc>
        <w:tc>
          <w:tcPr>
            <w:tcW w:w="1940" w:type="dxa"/>
            <w:vAlign w:val="center"/>
          </w:tcPr>
          <w:p w14:paraId="0A3B24E8" w14:textId="6F82E61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A0384C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B36957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4F97FE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AC906B" w14:textId="0BC2966B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regulacji panelu sterowania prawo/lewo</w:t>
            </w:r>
          </w:p>
        </w:tc>
        <w:tc>
          <w:tcPr>
            <w:tcW w:w="1940" w:type="dxa"/>
            <w:vAlign w:val="center"/>
          </w:tcPr>
          <w:p w14:paraId="712D27FE" w14:textId="43113D0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C643448" w14:textId="5D99860D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228A357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791029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11DDEDC" w14:textId="075FB55A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Wewnętrzny system archiwizacji badania w aparacie o dysku min. 256 GB</w:t>
            </w:r>
          </w:p>
        </w:tc>
        <w:tc>
          <w:tcPr>
            <w:tcW w:w="1940" w:type="dxa"/>
            <w:vAlign w:val="center"/>
          </w:tcPr>
          <w:p w14:paraId="41FB5CC9" w14:textId="7DBCF5D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323741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0EA814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C00C0D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3F24AC5" w14:textId="552F2EA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Minimum 5 aktywnych portów USB do archiwizacji obrazów statycznych oraz dynamicznych na przenośne pamięci typu Flash, Pendrive</w:t>
            </w:r>
          </w:p>
        </w:tc>
        <w:tc>
          <w:tcPr>
            <w:tcW w:w="1940" w:type="dxa"/>
            <w:vAlign w:val="center"/>
          </w:tcPr>
          <w:p w14:paraId="312B6BF7" w14:textId="0E1D09A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9D9BB1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E59CF3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4EF7D3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07BE09" w14:textId="77777777" w:rsidR="004A60F4" w:rsidRPr="004A60F4" w:rsidRDefault="004A60F4" w:rsidP="004A60F4">
            <w:pPr>
              <w:tabs>
                <w:tab w:val="left" w:pos="36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Złącza pozwalające na komunikację z urządzeniami zewnętrznymi min:</w:t>
            </w:r>
          </w:p>
          <w:p w14:paraId="4312107F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USB 3.0</w:t>
            </w:r>
          </w:p>
          <w:p w14:paraId="270FBEF1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237" w:lineRule="auto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USB 2.0</w:t>
            </w:r>
          </w:p>
          <w:p w14:paraId="221CDF1F" w14:textId="77777777" w:rsidR="004A60F4" w:rsidRPr="004A60F4" w:rsidRDefault="004A60F4" w:rsidP="004A60F4">
            <w:pPr>
              <w:numPr>
                <w:ilvl w:val="0"/>
                <w:numId w:val="35"/>
              </w:numPr>
              <w:tabs>
                <w:tab w:val="left" w:pos="72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HDMI</w:t>
            </w:r>
          </w:p>
          <w:p w14:paraId="42A3F0FD" w14:textId="48A86B3F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LAN (Ethernet 10 / 100 / 1000)</w:t>
            </w:r>
          </w:p>
        </w:tc>
        <w:tc>
          <w:tcPr>
            <w:tcW w:w="1940" w:type="dxa"/>
            <w:vAlign w:val="center"/>
          </w:tcPr>
          <w:p w14:paraId="2660E85D" w14:textId="0027389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EBEF21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52C616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67DEBFE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7D34F1B" w14:textId="7BB1BCA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Głębokość skanowania min. 1,5 cm – 30 cm</w:t>
            </w:r>
          </w:p>
        </w:tc>
        <w:tc>
          <w:tcPr>
            <w:tcW w:w="1940" w:type="dxa"/>
            <w:vAlign w:val="center"/>
          </w:tcPr>
          <w:p w14:paraId="308EA4DD" w14:textId="6C9E884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B5774E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3C451F2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28CE85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2B9195B" w14:textId="18DE72D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zapisu przebiegu badania w postaci klipu min. 550 sek.</w:t>
            </w:r>
          </w:p>
        </w:tc>
        <w:tc>
          <w:tcPr>
            <w:tcW w:w="1940" w:type="dxa"/>
            <w:vAlign w:val="center"/>
          </w:tcPr>
          <w:p w14:paraId="720E9F28" w14:textId="28E88FB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5FCBF5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644E13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B64F19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A943871" w14:textId="7CDEA271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Tryby pracy: 2D (B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), M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, Doppler Pulsacyjny, Doppler Kolorowy; Power Doppler Kolorowy; Duplex;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Triplex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, obrazowanie harmoniczne</w:t>
            </w:r>
          </w:p>
        </w:tc>
        <w:tc>
          <w:tcPr>
            <w:tcW w:w="1940" w:type="dxa"/>
            <w:vAlign w:val="center"/>
          </w:tcPr>
          <w:p w14:paraId="03462F0E" w14:textId="040ABB0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687E40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398DD5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49296C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6AE0817" w14:textId="2AB56CE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Mierzona prędkość przepływu w Dopplerze Pulsacyjnym min. 0,5 cm/s - 805 cm/s</w:t>
            </w:r>
          </w:p>
        </w:tc>
        <w:tc>
          <w:tcPr>
            <w:tcW w:w="1940" w:type="dxa"/>
            <w:vAlign w:val="center"/>
          </w:tcPr>
          <w:p w14:paraId="5D7900A4" w14:textId="0D20D68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61A8CD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8B9E8D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CDC286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5074A0B" w14:textId="3FD3D53C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Mierzona prędkość przepływu w Dopplerze Kolorowym min. 0,5 cm/s – 490 cm/s</w:t>
            </w:r>
          </w:p>
        </w:tc>
        <w:tc>
          <w:tcPr>
            <w:tcW w:w="1940" w:type="dxa"/>
            <w:vAlign w:val="center"/>
          </w:tcPr>
          <w:p w14:paraId="73B0522C" w14:textId="3CA83BD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E4D5B7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5290C5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73353E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728006C" w14:textId="1D0D3154" w:rsidR="004A60F4" w:rsidRPr="004A60F4" w:rsidRDefault="004A60F4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Szerokość bramki Dopplera pulsacyjnego min. 1-20 mm</w:t>
            </w:r>
          </w:p>
        </w:tc>
        <w:tc>
          <w:tcPr>
            <w:tcW w:w="1940" w:type="dxa"/>
            <w:vAlign w:val="center"/>
          </w:tcPr>
          <w:p w14:paraId="24A4E7CF" w14:textId="1E2A252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55DA8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B6412F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E96DF1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1E02780" w14:textId="77777777" w:rsidR="004A60F4" w:rsidRPr="004A60F4" w:rsidRDefault="004A60F4" w:rsidP="004A60F4">
            <w:pPr>
              <w:tabs>
                <w:tab w:val="left" w:pos="364"/>
              </w:tabs>
              <w:spacing w:line="0" w:lineRule="atLeast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Oprogramowanie aplikacyjne i pomiarowe dla:</w:t>
            </w:r>
          </w:p>
          <w:p w14:paraId="1F584DA4" w14:textId="77777777" w:rsidR="004A60F4" w:rsidRPr="004A60F4" w:rsidRDefault="004A60F4" w:rsidP="004A60F4">
            <w:pPr>
              <w:pStyle w:val="Akapitzlist"/>
              <w:numPr>
                <w:ilvl w:val="0"/>
                <w:numId w:val="37"/>
              </w:numPr>
              <w:tabs>
                <w:tab w:val="left" w:pos="724"/>
              </w:tabs>
              <w:spacing w:line="0" w:lineRule="atLeast"/>
              <w:ind w:left="360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 xml:space="preserve">jamy brzusznej (brzuch, nerki, pęcherz moczowy) </w:t>
            </w:r>
          </w:p>
          <w:p w14:paraId="19A754E3" w14:textId="77777777" w:rsidR="004A60F4" w:rsidRPr="004A60F4" w:rsidRDefault="004A60F4" w:rsidP="004A60F4">
            <w:pPr>
              <w:pStyle w:val="Akapitzlist"/>
              <w:numPr>
                <w:ilvl w:val="0"/>
                <w:numId w:val="36"/>
              </w:numPr>
              <w:tabs>
                <w:tab w:val="left" w:pos="724"/>
              </w:tabs>
              <w:spacing w:line="0" w:lineRule="atLeast"/>
              <w:ind w:left="360"/>
              <w:rPr>
                <w:rFonts w:asciiTheme="minorHAnsi" w:eastAsia="Symbol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>małych narządów (tarczyca, piersi, jądra, prącie)</w:t>
            </w:r>
          </w:p>
          <w:p w14:paraId="6CF9F323" w14:textId="437046C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ymbol" w:hAnsiTheme="minorHAnsi" w:cstheme="minorHAnsi"/>
                <w:sz w:val="22"/>
                <w:szCs w:val="22"/>
              </w:rPr>
              <w:t>położnictwa i ginekologii</w:t>
            </w:r>
          </w:p>
        </w:tc>
        <w:tc>
          <w:tcPr>
            <w:tcW w:w="1940" w:type="dxa"/>
            <w:vAlign w:val="center"/>
          </w:tcPr>
          <w:p w14:paraId="4BF167DF" w14:textId="45592B7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2AAE0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7FD514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82F50D5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A3CAA35" w14:textId="08E5843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Oprogramowanie pozwalające na utworzenie indywidualnego konta użytkownika zabezpieczonego hasłem</w:t>
            </w:r>
          </w:p>
        </w:tc>
        <w:tc>
          <w:tcPr>
            <w:tcW w:w="1940" w:type="dxa"/>
            <w:vAlign w:val="center"/>
          </w:tcPr>
          <w:p w14:paraId="345AA140" w14:textId="680F1CB5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E8E09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FBA322A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A60DCB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0FF3822" w14:textId="26CD31F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podziału wyświetlanego obrazu prowadzonego badania na dwa w czasie rzeczywistym zarówno w orientacji wertykalnej jak i horyzontalnej</w:t>
            </w:r>
          </w:p>
        </w:tc>
        <w:tc>
          <w:tcPr>
            <w:tcW w:w="1940" w:type="dxa"/>
            <w:vAlign w:val="center"/>
          </w:tcPr>
          <w:p w14:paraId="6A195547" w14:textId="2902548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68E9785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74D267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418652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6EC7AE2" w14:textId="5972892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Automatyczna optymalizacja obrazu 2D za pomocą jednego przycisku</w:t>
            </w:r>
          </w:p>
        </w:tc>
        <w:tc>
          <w:tcPr>
            <w:tcW w:w="1940" w:type="dxa"/>
            <w:vAlign w:val="center"/>
          </w:tcPr>
          <w:p w14:paraId="0932E60E" w14:textId="1A05690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0B0522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C9A68B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D7BB12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D495EE0" w14:textId="5C9AF7A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Automatyczne wzmocnienie obrazu tzw. funkcja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AutoGain</w:t>
            </w:r>
            <w:proofErr w:type="spellEnd"/>
          </w:p>
        </w:tc>
        <w:tc>
          <w:tcPr>
            <w:tcW w:w="1940" w:type="dxa"/>
            <w:vAlign w:val="center"/>
          </w:tcPr>
          <w:p w14:paraId="52C96229" w14:textId="401C824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2C78DD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6D27FD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05A9BF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F1D9AC2" w14:textId="20BF0D9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Moduł DICOM 3.0</w:t>
            </w:r>
          </w:p>
        </w:tc>
        <w:tc>
          <w:tcPr>
            <w:tcW w:w="1940" w:type="dxa"/>
            <w:vAlign w:val="center"/>
          </w:tcPr>
          <w:p w14:paraId="3DC6EA61" w14:textId="5C789F2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31A664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8DF90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38379E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5E74A30" w14:textId="1A7FC5A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Videoprinter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czarno – biały</w:t>
            </w:r>
          </w:p>
        </w:tc>
        <w:tc>
          <w:tcPr>
            <w:tcW w:w="1940" w:type="dxa"/>
            <w:vAlign w:val="center"/>
          </w:tcPr>
          <w:p w14:paraId="1515D5AD" w14:textId="32CEBA5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1B3173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10973C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3B5B471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CD83DD3" w14:textId="3FCF5C3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Głowica typu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2,0 - 5,0 MHz</w:t>
            </w:r>
          </w:p>
        </w:tc>
        <w:tc>
          <w:tcPr>
            <w:tcW w:w="1940" w:type="dxa"/>
            <w:vAlign w:val="center"/>
          </w:tcPr>
          <w:p w14:paraId="2EC89B59" w14:textId="1110B3A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0FC7B0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616D8B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A7C54F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ED35973" w14:textId="48C9883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190</w:t>
            </w:r>
          </w:p>
        </w:tc>
        <w:tc>
          <w:tcPr>
            <w:tcW w:w="1940" w:type="dxa"/>
            <w:vAlign w:val="center"/>
          </w:tcPr>
          <w:p w14:paraId="4D1B5796" w14:textId="767C027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CFBE1E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8B6E79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6891BE6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5002125" w14:textId="0E788B6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Min. 4 przełączalnych częstotliwości pracy dla trybu 2D (B—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2,0 MHz do min. 5 MHz</w:t>
            </w:r>
          </w:p>
        </w:tc>
        <w:tc>
          <w:tcPr>
            <w:tcW w:w="1940" w:type="dxa"/>
            <w:vAlign w:val="center"/>
          </w:tcPr>
          <w:p w14:paraId="41045312" w14:textId="4189543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DF3B01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52FA35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032561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61CDA91" w14:textId="4C70EC1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Doppler od min. 2,0 MHz do min. 3,0 MHz</w:t>
            </w:r>
          </w:p>
        </w:tc>
        <w:tc>
          <w:tcPr>
            <w:tcW w:w="1940" w:type="dxa"/>
            <w:vAlign w:val="center"/>
          </w:tcPr>
          <w:p w14:paraId="6BF9A0F9" w14:textId="231D2E7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2A1686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BB055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0AF748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6175515" w14:textId="318BEFA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2 przełączalne częstotliwości pracy dla trybu obrazowania harmonicznego (THI) od min. 3,5 MHz do min. 4,5 MHz</w:t>
            </w:r>
          </w:p>
        </w:tc>
        <w:tc>
          <w:tcPr>
            <w:tcW w:w="1940" w:type="dxa"/>
            <w:vAlign w:val="center"/>
          </w:tcPr>
          <w:p w14:paraId="2827FD3E" w14:textId="6075DFD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12B071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F9B873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E64D98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DF8FB3C" w14:textId="251A075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Kąt pola skanowania (widzenia) min. 61°</w:t>
            </w:r>
          </w:p>
        </w:tc>
        <w:tc>
          <w:tcPr>
            <w:tcW w:w="1940" w:type="dxa"/>
            <w:vAlign w:val="center"/>
          </w:tcPr>
          <w:p w14:paraId="63CB10AD" w14:textId="7298573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04B9B90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3F873A9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094B06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34048B1" w14:textId="5956C52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14319003" w14:textId="70D7344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C6E712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2486D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A71614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AAE03D7" w14:textId="0AFD54F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przystawkę biopsyjną o regulowanej średnicy na biopsje cienko i grubo igłowe w zakresie 0,6-2,4 mm, metalowa, wielokrotnego użytku z możliwością sterylizacji</w:t>
            </w:r>
          </w:p>
        </w:tc>
        <w:tc>
          <w:tcPr>
            <w:tcW w:w="1940" w:type="dxa"/>
            <w:vAlign w:val="center"/>
          </w:tcPr>
          <w:p w14:paraId="20D60C2D" w14:textId="33B18B8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4E9DCF3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C4E9DA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3EA1E8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7A2BC59" w14:textId="3D42A74A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Głowica liniowa o częstotliwości pracy min. 5,0 - 12,0 MHz</w:t>
            </w:r>
          </w:p>
        </w:tc>
        <w:tc>
          <w:tcPr>
            <w:tcW w:w="1940" w:type="dxa"/>
            <w:vAlign w:val="center"/>
          </w:tcPr>
          <w:p w14:paraId="792073DA" w14:textId="4118954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D09640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395FF9C4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52710D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6BD5B99" w14:textId="6723A50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190</w:t>
            </w:r>
          </w:p>
        </w:tc>
        <w:tc>
          <w:tcPr>
            <w:tcW w:w="1940" w:type="dxa"/>
            <w:vAlign w:val="center"/>
          </w:tcPr>
          <w:p w14:paraId="196FDA78" w14:textId="5D7DD38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31CF7E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2BFE4CD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13A495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41CE43A" w14:textId="3F28DCC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4 przełączalne częstotliwości pracy dla trybu 2D (B —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 MHz do min. 12 MHz</w:t>
            </w:r>
          </w:p>
        </w:tc>
        <w:tc>
          <w:tcPr>
            <w:tcW w:w="1940" w:type="dxa"/>
            <w:vAlign w:val="center"/>
          </w:tcPr>
          <w:p w14:paraId="236C5971" w14:textId="1DAA860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EB00BC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47B18C7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1286E0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710EF9C" w14:textId="31E3815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przełączalnych częstotliwości pracy dla trybu Doppler od min. 5,0 MHz do min. 7,5 MHz</w:t>
            </w:r>
          </w:p>
        </w:tc>
        <w:tc>
          <w:tcPr>
            <w:tcW w:w="1940" w:type="dxa"/>
            <w:vAlign w:val="center"/>
          </w:tcPr>
          <w:p w14:paraId="3FC505F2" w14:textId="7FE5000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481D95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66B851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54FB91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E7D1062" w14:textId="0F3EF33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1 przełączalna częstotliwość pracy dla trybu obrazowania harmonicznego (THI) - 10,0 MHz</w:t>
            </w:r>
          </w:p>
        </w:tc>
        <w:tc>
          <w:tcPr>
            <w:tcW w:w="1940" w:type="dxa"/>
            <w:vAlign w:val="center"/>
          </w:tcPr>
          <w:p w14:paraId="7EEA55B1" w14:textId="7D04994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EE65C2F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55AE7D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3D473E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86EBD95" w14:textId="347A44D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Szerokość matrycy max 50 mm</w:t>
            </w:r>
          </w:p>
        </w:tc>
        <w:tc>
          <w:tcPr>
            <w:tcW w:w="1940" w:type="dxa"/>
            <w:vAlign w:val="center"/>
          </w:tcPr>
          <w:p w14:paraId="5B6BC91B" w14:textId="51B0B21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10EF1B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4EEEF4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6CE40E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19D6F8F" w14:textId="02AE0EF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0FCD81EA" w14:textId="6A80694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9FDB3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9AA98CB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BE53D11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464B587" w14:textId="5B52A87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wielorazową przystawkę biopsyjną dla igieł o rozmiarach 0,9 mm (20 G), 1,3 mm (18 G) lub 2,1 mm (14 G) oraz trzema kątami wejścia igły</w:t>
            </w:r>
          </w:p>
        </w:tc>
        <w:tc>
          <w:tcPr>
            <w:tcW w:w="1940" w:type="dxa"/>
            <w:vAlign w:val="center"/>
          </w:tcPr>
          <w:p w14:paraId="3694DBBA" w14:textId="0D15195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07BE46B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4ACB7E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3ED26F3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BFC12CA" w14:textId="7D7A2F7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Głowica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przezodbytnicza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przezpochwowa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5,0 - 10,0 MHz</w:t>
            </w:r>
          </w:p>
        </w:tc>
        <w:tc>
          <w:tcPr>
            <w:tcW w:w="1940" w:type="dxa"/>
            <w:vAlign w:val="center"/>
          </w:tcPr>
          <w:p w14:paraId="1069B969" w14:textId="537AE02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2FAA585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D86C8F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BA24DA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C88DA86" w14:textId="2BF6642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120</w:t>
            </w:r>
          </w:p>
        </w:tc>
        <w:tc>
          <w:tcPr>
            <w:tcW w:w="1940" w:type="dxa"/>
            <w:vAlign w:val="center"/>
          </w:tcPr>
          <w:p w14:paraId="293439FF" w14:textId="266C1AA9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53A1B41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3671B5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FF29D88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992279F" w14:textId="1C47829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2D (B —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 MHz do min. 9 MHz</w:t>
            </w:r>
          </w:p>
        </w:tc>
        <w:tc>
          <w:tcPr>
            <w:tcW w:w="1940" w:type="dxa"/>
            <w:vAlign w:val="center"/>
          </w:tcPr>
          <w:p w14:paraId="2706E7F6" w14:textId="7E6A83D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EFDA31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792FA92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031417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CA9C933" w14:textId="5751DCC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przełączalnych częstotliwości pracy dla trybu Doppler od min. 5,0 MHz do min. 7,5 MHz</w:t>
            </w:r>
          </w:p>
        </w:tc>
        <w:tc>
          <w:tcPr>
            <w:tcW w:w="1940" w:type="dxa"/>
            <w:vAlign w:val="center"/>
          </w:tcPr>
          <w:p w14:paraId="5898883C" w14:textId="7A8E8A6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EAF566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FCDDE0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83C6CBB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123FB1B" w14:textId="495FF39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Powierzchnia kontaktowa (łącznie) min. 22x18mm</w:t>
            </w:r>
          </w:p>
        </w:tc>
        <w:tc>
          <w:tcPr>
            <w:tcW w:w="1940" w:type="dxa"/>
            <w:vAlign w:val="center"/>
          </w:tcPr>
          <w:p w14:paraId="2C6504FD" w14:textId="0111035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A7D3102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2ECCAF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41A3C4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D880C73" w14:textId="04B9AA0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Pole obrazu min.140°</w:t>
            </w:r>
          </w:p>
        </w:tc>
        <w:tc>
          <w:tcPr>
            <w:tcW w:w="1940" w:type="dxa"/>
            <w:vAlign w:val="center"/>
          </w:tcPr>
          <w:p w14:paraId="37524D47" w14:textId="61BD63DA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B6B6AC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9D1CA4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D10A5A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B02CD8" w14:textId="39AC913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Przycisk na głowicy umożliwiający uruchomienie głowicy, zamrożenie i aktywację obrazu</w:t>
            </w:r>
          </w:p>
        </w:tc>
        <w:tc>
          <w:tcPr>
            <w:tcW w:w="1940" w:type="dxa"/>
            <w:vAlign w:val="center"/>
          </w:tcPr>
          <w:p w14:paraId="7BB53C3F" w14:textId="2C4B147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D53EA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3B6F366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A04818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9EADDD4" w14:textId="575BEE6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rozbudowy o wielorazową przystawkę biopsyjną z otworem w rozmiarze 1,8 mm i kącie wprowadzenia igły 0,9° wzdłuż długiej osi głowicy</w:t>
            </w:r>
          </w:p>
        </w:tc>
        <w:tc>
          <w:tcPr>
            <w:tcW w:w="1940" w:type="dxa"/>
            <w:vAlign w:val="center"/>
          </w:tcPr>
          <w:p w14:paraId="424D0587" w14:textId="7CD56D22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D9DB1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C7B863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DA0053A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EF541C3" w14:textId="22C8A664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Możliwość rozbudowy o głowicę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rektalną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trzypłaszczyznową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convex-convex-convex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 częstotliwości pracy min. 5,0 - 12,0 MHz</w:t>
            </w:r>
          </w:p>
        </w:tc>
        <w:tc>
          <w:tcPr>
            <w:tcW w:w="1940" w:type="dxa"/>
            <w:vAlign w:val="center"/>
          </w:tcPr>
          <w:p w14:paraId="41E89874" w14:textId="06A419AE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132D5FF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6D9492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041E28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5A9BCB87" w14:textId="6079E966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300</w:t>
            </w:r>
          </w:p>
        </w:tc>
        <w:tc>
          <w:tcPr>
            <w:tcW w:w="1940" w:type="dxa"/>
            <w:vAlign w:val="center"/>
          </w:tcPr>
          <w:p w14:paraId="25DBD143" w14:textId="3FFBC8F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CF7BB4C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951E66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878576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BBCD071" w14:textId="3958AC0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Min. 3 przełączalne częstotliwości pracy dla trybu 2D (B—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mode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) od min. 6,0 MHz do min. 12,0 MHz</w:t>
            </w:r>
          </w:p>
        </w:tc>
        <w:tc>
          <w:tcPr>
            <w:tcW w:w="1940" w:type="dxa"/>
            <w:vAlign w:val="center"/>
          </w:tcPr>
          <w:p w14:paraId="159585B3" w14:textId="19CD5B2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436E73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75F4F8D1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7D518447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B4C83D7" w14:textId="762E6DE9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3 przełączalne częstotliwości pracy dla trybu Doppler od min. 6,0 MHz do min. 7,5 MHz</w:t>
            </w:r>
          </w:p>
        </w:tc>
        <w:tc>
          <w:tcPr>
            <w:tcW w:w="1940" w:type="dxa"/>
            <w:vAlign w:val="center"/>
          </w:tcPr>
          <w:p w14:paraId="016AA640" w14:textId="6E3B6AD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7378A23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44A747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154D1C6D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A483DC4" w14:textId="787DD8C5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2 przełączalnych częstotliwości pracy dla trybu obrazowania harmonicznego (THI) od min. 8,0 MHz do min. 10,0 MHz</w:t>
            </w:r>
          </w:p>
        </w:tc>
        <w:tc>
          <w:tcPr>
            <w:tcW w:w="1940" w:type="dxa"/>
            <w:vAlign w:val="center"/>
          </w:tcPr>
          <w:p w14:paraId="50765C92" w14:textId="0EF1FFB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67CA3B1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634AFC8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CEF4DE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638D2E19" w14:textId="74EBFCF3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Jednoczesne obrazowanie dwóch płaszczyzn prostaty w czasie rzeczywistym</w:t>
            </w:r>
          </w:p>
        </w:tc>
        <w:tc>
          <w:tcPr>
            <w:tcW w:w="1940" w:type="dxa"/>
            <w:vAlign w:val="center"/>
          </w:tcPr>
          <w:p w14:paraId="3A2E6D58" w14:textId="1C53DE9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22590E7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DAA366E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53A237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26E48F8" w14:textId="588EA79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Kanał biopsyjny przez środek głowicy (wielorazowa nasadka wraz z prowadnicą, której linia punkcji jest poprowadzona przez środek głowicy pod kątem 19° oraz pod kątem 0° względem osi głowicy – 3 sztuki)</w:t>
            </w:r>
          </w:p>
        </w:tc>
        <w:tc>
          <w:tcPr>
            <w:tcW w:w="1940" w:type="dxa"/>
            <w:vAlign w:val="center"/>
          </w:tcPr>
          <w:p w14:paraId="1BF21E4C" w14:textId="73C0EF5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2811909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7404A8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41B79902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B75AEAE" w14:textId="4BAA3352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Min. Dwa przyciski na głowicy odpowiedzialne za przełączanie płaszczyzn prostaty, aktywację i mrożenie obrazu</w:t>
            </w:r>
          </w:p>
        </w:tc>
        <w:tc>
          <w:tcPr>
            <w:tcW w:w="1940" w:type="dxa"/>
            <w:vAlign w:val="center"/>
          </w:tcPr>
          <w:p w14:paraId="2CBB1198" w14:textId="5B7FA77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F9EB98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50C84F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F56AD6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0B46A0B6" w14:textId="4B48F997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Kąt pola skanowania (widzenia) min. 170°</w:t>
            </w:r>
          </w:p>
        </w:tc>
        <w:tc>
          <w:tcPr>
            <w:tcW w:w="1940" w:type="dxa"/>
            <w:vAlign w:val="center"/>
          </w:tcPr>
          <w:p w14:paraId="2F900F41" w14:textId="499C02E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44A5FFB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27398F1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634F77C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9073D12" w14:textId="0127303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Możliwość rozbudowy o głowicę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rektalną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dwupłaszczyznową do badań urologicznych oraz innych procedur przez kroczowych typu </w:t>
            </w:r>
            <w:proofErr w:type="spellStart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b/>
                <w:sz w:val="22"/>
                <w:szCs w:val="22"/>
              </w:rPr>
              <w:t>-linia o częstotliwości pracy min. 5,0 - 12,0 MHz</w:t>
            </w:r>
          </w:p>
        </w:tc>
        <w:tc>
          <w:tcPr>
            <w:tcW w:w="1940" w:type="dxa"/>
            <w:vAlign w:val="center"/>
          </w:tcPr>
          <w:p w14:paraId="45BE9A07" w14:textId="57720DA4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3C27EB1D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2F014CC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20B4706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54A0A4C" w14:textId="4D822DF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Ilość niezależnych elementów tworzących i odbierających sygnał ultradźwiękowy w głowicy min. 300</w:t>
            </w:r>
          </w:p>
        </w:tc>
        <w:tc>
          <w:tcPr>
            <w:tcW w:w="1940" w:type="dxa"/>
            <w:vAlign w:val="center"/>
          </w:tcPr>
          <w:p w14:paraId="4479D363" w14:textId="162B06F3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10AF454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B5413E5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03883E39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1CC7CE4D" w14:textId="0BB6490F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Możliwość wykonania biopsji oraz innych procedur przez kroczowych, w tym brachyterapii</w:t>
            </w:r>
          </w:p>
        </w:tc>
        <w:tc>
          <w:tcPr>
            <w:tcW w:w="1940" w:type="dxa"/>
            <w:vAlign w:val="center"/>
          </w:tcPr>
          <w:p w14:paraId="38421F4A" w14:textId="6B1D817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5BB72004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FF7AC1A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5388FCB0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4952DBCE" w14:textId="65FBA05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Dwa przyciski na głowicy odpowiedzialne za przełączanie płaszczyzn prostaty oraz aktywację i mrożenie obrazu</w:t>
            </w:r>
          </w:p>
        </w:tc>
        <w:tc>
          <w:tcPr>
            <w:tcW w:w="1940" w:type="dxa"/>
            <w:vAlign w:val="center"/>
          </w:tcPr>
          <w:p w14:paraId="0AC74EF2" w14:textId="01433726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1B2C5CF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8602600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37D7F724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7330E29D" w14:textId="0AA764DB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Długość czoła płaszczyzny liniowej min. 60 mm</w:t>
            </w:r>
          </w:p>
        </w:tc>
        <w:tc>
          <w:tcPr>
            <w:tcW w:w="1940" w:type="dxa"/>
            <w:vAlign w:val="center"/>
          </w:tcPr>
          <w:p w14:paraId="35728644" w14:textId="52D4D3F1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0595A178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F8D71C" w14:textId="77777777" w:rsidTr="00A03BFD">
        <w:trPr>
          <w:trHeight w:val="333"/>
        </w:trPr>
        <w:tc>
          <w:tcPr>
            <w:tcW w:w="833" w:type="dxa"/>
            <w:vAlign w:val="center"/>
          </w:tcPr>
          <w:p w14:paraId="6CA2CE3F" w14:textId="77777777" w:rsidR="004A60F4" w:rsidRPr="004A60F4" w:rsidRDefault="004A60F4" w:rsidP="004A60F4">
            <w:pPr>
              <w:numPr>
                <w:ilvl w:val="1"/>
                <w:numId w:val="3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</w:tcPr>
          <w:p w14:paraId="3CCF297E" w14:textId="49D3943D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Jednoczesne obrazowanie prostaty w przekroju podłużnym i poprzecznym </w:t>
            </w:r>
            <w:proofErr w:type="spellStart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convex</w:t>
            </w:r>
            <w:proofErr w:type="spellEnd"/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– linia</w:t>
            </w:r>
          </w:p>
        </w:tc>
        <w:tc>
          <w:tcPr>
            <w:tcW w:w="1940" w:type="dxa"/>
            <w:vAlign w:val="center"/>
          </w:tcPr>
          <w:p w14:paraId="7277A21C" w14:textId="54EAB57C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292F61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E34BA23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077ACEF" w14:textId="1FD34C36" w:rsidR="004A60F4" w:rsidRPr="004A60F4" w:rsidRDefault="00907318" w:rsidP="004A60F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II.</w:t>
            </w:r>
          </w:p>
        </w:tc>
        <w:tc>
          <w:tcPr>
            <w:tcW w:w="4032" w:type="dxa"/>
            <w:shd w:val="clear" w:color="auto" w:fill="F2F2F2"/>
            <w:vAlign w:val="center"/>
          </w:tcPr>
          <w:p w14:paraId="5A31F655" w14:textId="11FBC7C1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Warunki serwisu  gwarancji</w:t>
            </w:r>
          </w:p>
        </w:tc>
        <w:tc>
          <w:tcPr>
            <w:tcW w:w="1940" w:type="dxa"/>
            <w:shd w:val="clear" w:color="auto" w:fill="F2F2F2"/>
            <w:vAlign w:val="center"/>
          </w:tcPr>
          <w:p w14:paraId="49C40CD8" w14:textId="77777777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305" w:type="dxa"/>
          </w:tcPr>
          <w:p w14:paraId="012D9EE0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AA7B58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5DB78C4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1FB4AE81" w14:textId="758A7F16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Gwarancja producenta min. </w:t>
            </w:r>
            <w:r w:rsidR="00907318"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 w:rsidR="00907318">
              <w:rPr>
                <w:rFonts w:asciiTheme="minorHAnsi" w:hAnsiTheme="minorHAnsi" w:cstheme="minorHAnsi"/>
                <w:sz w:val="22"/>
                <w:szCs w:val="22"/>
              </w:rPr>
              <w:t>ące</w:t>
            </w:r>
          </w:p>
        </w:tc>
        <w:tc>
          <w:tcPr>
            <w:tcW w:w="1940" w:type="dxa"/>
            <w:vAlign w:val="center"/>
          </w:tcPr>
          <w:p w14:paraId="71974049" w14:textId="21D8049F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 oferowany okres gwarancji</w:t>
            </w:r>
          </w:p>
        </w:tc>
        <w:tc>
          <w:tcPr>
            <w:tcW w:w="3305" w:type="dxa"/>
          </w:tcPr>
          <w:p w14:paraId="528A1DEA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17CD9582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151EF260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5F44F782" w14:textId="773618FC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Bezpłatna dostawa sprzętu zastępczego o takich samych parametrach na czas trwania naprawy trwającej powyżej 7 dni roboczych</w:t>
            </w:r>
          </w:p>
        </w:tc>
        <w:tc>
          <w:tcPr>
            <w:tcW w:w="1940" w:type="dxa"/>
            <w:vAlign w:val="center"/>
          </w:tcPr>
          <w:p w14:paraId="73D81DA0" w14:textId="7169687D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3305" w:type="dxa"/>
          </w:tcPr>
          <w:p w14:paraId="44F57671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AD943DC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239A43CA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702770D3" w14:textId="73DA87C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Dostępność części zamiennych min. 8 lat od daty sprzedaży urządzenia</w:t>
            </w:r>
          </w:p>
        </w:tc>
        <w:tc>
          <w:tcPr>
            <w:tcW w:w="1940" w:type="dxa"/>
            <w:vAlign w:val="center"/>
          </w:tcPr>
          <w:p w14:paraId="342043B1" w14:textId="2198E88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Tak/Nie</w:t>
            </w:r>
          </w:p>
        </w:tc>
        <w:tc>
          <w:tcPr>
            <w:tcW w:w="3305" w:type="dxa"/>
          </w:tcPr>
          <w:p w14:paraId="54D1ACA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5157E6AF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5F761549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501B7DF1" w14:textId="021DD5F8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Bezpłatne okresowe przeglądy gwarancyjne z ewentualną wymianą elementów eksploatacyjnych (jeżeli dotyczy), w odstępach czasowych wymaganych przez producenta urządzeń, ale nie rzadziej niż jeden raz na 12 miesięcy gwarancji</w:t>
            </w:r>
          </w:p>
        </w:tc>
        <w:tc>
          <w:tcPr>
            <w:tcW w:w="1940" w:type="dxa"/>
            <w:vAlign w:val="center"/>
          </w:tcPr>
          <w:p w14:paraId="49BB5A05" w14:textId="4DA64AC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337958FE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651A2622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2D98726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6E22767F" w14:textId="30B64021" w:rsidR="004A60F4" w:rsidRPr="004A60F4" w:rsidRDefault="00741D5D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41D5D">
              <w:rPr>
                <w:rFonts w:ascii="Tahoma" w:hAnsi="Tahoma" w:cs="Tahoma"/>
                <w:bCs/>
                <w:color w:val="FF0000"/>
                <w:sz w:val="20"/>
              </w:rPr>
              <w:t>Czas usunięcia usterki 7 dni roboczych licząc od czasu zgłoszenia awarii na piśmie lub faksem, bądź dostarczenia sprzętu do autoryzowanego serwisu Wykonawcy na koszt Wykonawcy, a w przypadku konieczności sprawdzenia części  z poza granic Polski – w terminie do 14 dni</w:t>
            </w:r>
          </w:p>
        </w:tc>
        <w:tc>
          <w:tcPr>
            <w:tcW w:w="1940" w:type="dxa"/>
            <w:vAlign w:val="center"/>
          </w:tcPr>
          <w:p w14:paraId="3B28E119" w14:textId="4950FAB0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2A504956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068E0E7E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179127F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1CC7526D" w14:textId="42AE0DE0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Bezpłatny dojazd do siedziby Zamawiającego w zakresie gwarancyjnej </w:t>
            </w:r>
            <w:r w:rsidRPr="004A60F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obsługi serwisowej i obsługi eksploatacyjnej</w:t>
            </w:r>
          </w:p>
        </w:tc>
        <w:tc>
          <w:tcPr>
            <w:tcW w:w="1940" w:type="dxa"/>
            <w:vAlign w:val="center"/>
          </w:tcPr>
          <w:p w14:paraId="25B1F398" w14:textId="2A571F58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305" w:type="dxa"/>
          </w:tcPr>
          <w:p w14:paraId="36DAE4F3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4A60F4" w:rsidRPr="006117A9" w14:paraId="483CA506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76FE26FB" w14:textId="77777777" w:rsidR="004A60F4" w:rsidRPr="004A60F4" w:rsidRDefault="004A60F4" w:rsidP="004A60F4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0F2A70C9" w14:textId="6B5A4C0E" w:rsidR="004A60F4" w:rsidRPr="004A60F4" w:rsidRDefault="004A60F4" w:rsidP="004A60F4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Gwarantowany czas reakcji serwisu rozumiany jako czas podjęcia naprawy od chwili zgłoszenia ≤48 godz. (dni robocze)</w:t>
            </w:r>
          </w:p>
        </w:tc>
        <w:tc>
          <w:tcPr>
            <w:tcW w:w="1940" w:type="dxa"/>
            <w:vAlign w:val="center"/>
          </w:tcPr>
          <w:p w14:paraId="6A357D66" w14:textId="0224B42B" w:rsidR="004A60F4" w:rsidRPr="004A60F4" w:rsidRDefault="004A60F4" w:rsidP="004A60F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Tak, podać</w:t>
            </w:r>
          </w:p>
        </w:tc>
        <w:tc>
          <w:tcPr>
            <w:tcW w:w="3305" w:type="dxa"/>
          </w:tcPr>
          <w:p w14:paraId="21189C9B" w14:textId="77777777" w:rsidR="004A60F4" w:rsidRPr="004A60F4" w:rsidRDefault="004A60F4" w:rsidP="004A60F4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16E4F9F6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6CF2397C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23944AB3" w14:textId="6285094C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1776">
              <w:rPr>
                <w:rFonts w:ascii="Calibri" w:hAnsi="Calibri"/>
                <w:sz w:val="22"/>
                <w:szCs w:val="22"/>
              </w:rPr>
              <w:t>Autoryzacja serwisu Wykonawcy przez producenta urządzenia (załączyć potwierdzenie producenta)</w:t>
            </w:r>
          </w:p>
        </w:tc>
        <w:tc>
          <w:tcPr>
            <w:tcW w:w="1940" w:type="dxa"/>
            <w:vAlign w:val="center"/>
          </w:tcPr>
          <w:p w14:paraId="0B028A39" w14:textId="24C29DA6" w:rsidR="000F1776" w:rsidRPr="004A60F4" w:rsidRDefault="000F1776" w:rsidP="000F1776">
            <w:pPr>
              <w:jc w:val="center"/>
              <w:rPr>
                <w:rFonts w:asciiTheme="minorHAnsi" w:eastAsia="SimSun" w:hAnsiTheme="minorHAnsi" w:cstheme="minorHAnsi"/>
                <w:sz w:val="22"/>
                <w:szCs w:val="22"/>
              </w:rPr>
            </w:pPr>
            <w:r w:rsidRPr="000F1776">
              <w:rPr>
                <w:rFonts w:ascii="Calibri" w:eastAsia="SimSun" w:hAnsi="Calibr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B7D7456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6DA565A4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6B0DB65A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081986D2" w14:textId="410BFA02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 xml:space="preserve">Nazwa serwisu, adres, nr telefonu i faxu </w:t>
            </w:r>
          </w:p>
        </w:tc>
        <w:tc>
          <w:tcPr>
            <w:tcW w:w="1940" w:type="dxa"/>
            <w:vAlign w:val="center"/>
          </w:tcPr>
          <w:p w14:paraId="5655DDF6" w14:textId="0382EFE1" w:rsidR="000F1776" w:rsidRPr="004A60F4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3730FEA2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5689B135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0CE2C439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728E6D4F" w14:textId="51393359" w:rsidR="000F1776" w:rsidRPr="004A60F4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60F4">
              <w:rPr>
                <w:rFonts w:asciiTheme="minorHAnsi" w:hAnsiTheme="minorHAnsi" w:cstheme="minorHAnsi"/>
                <w:sz w:val="22"/>
                <w:szCs w:val="22"/>
              </w:rPr>
              <w:t>Minimalna liczba napraw w czasie gwarancji powodująca wymianę podzespołu na nowy (max 3)</w:t>
            </w:r>
          </w:p>
        </w:tc>
        <w:tc>
          <w:tcPr>
            <w:tcW w:w="1940" w:type="dxa"/>
            <w:vAlign w:val="center"/>
          </w:tcPr>
          <w:p w14:paraId="5D046F27" w14:textId="1A73C868" w:rsidR="000F1776" w:rsidRPr="004A60F4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60F4">
              <w:rPr>
                <w:rFonts w:asciiTheme="minorHAnsi" w:eastAsia="SimSun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3305" w:type="dxa"/>
          </w:tcPr>
          <w:p w14:paraId="0E2903F6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0F1776" w:rsidRPr="006117A9" w14:paraId="53C1E0E1" w14:textId="77777777" w:rsidTr="00AC18D6">
        <w:trPr>
          <w:trHeight w:val="333"/>
        </w:trPr>
        <w:tc>
          <w:tcPr>
            <w:tcW w:w="833" w:type="dxa"/>
            <w:vAlign w:val="center"/>
          </w:tcPr>
          <w:p w14:paraId="355A7710" w14:textId="77777777" w:rsidR="000F1776" w:rsidRPr="004A60F4" w:rsidRDefault="000F1776" w:rsidP="000F1776">
            <w:pPr>
              <w:numPr>
                <w:ilvl w:val="1"/>
                <w:numId w:val="3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32" w:type="dxa"/>
            <w:vAlign w:val="center"/>
          </w:tcPr>
          <w:p w14:paraId="6A96600D" w14:textId="66DC06E9" w:rsidR="000F1776" w:rsidRPr="000F1776" w:rsidRDefault="000F1776" w:rsidP="000F1776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0F1776">
              <w:rPr>
                <w:rFonts w:asciiTheme="minorHAnsi" w:hAnsiTheme="minorHAnsi" w:cstheme="minorHAnsi"/>
                <w:sz w:val="22"/>
                <w:szCs w:val="22"/>
              </w:rPr>
              <w:t>Nieodpłatne szkolenie wybranego personelu Zamawiającego w zakresie użytkowania oferowanego sprzętu</w:t>
            </w:r>
          </w:p>
        </w:tc>
        <w:tc>
          <w:tcPr>
            <w:tcW w:w="1940" w:type="dxa"/>
            <w:vAlign w:val="center"/>
          </w:tcPr>
          <w:p w14:paraId="25EFB841" w14:textId="2201FD46" w:rsidR="000F1776" w:rsidRPr="000F1776" w:rsidRDefault="000F1776" w:rsidP="000F1776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F1776">
              <w:rPr>
                <w:rFonts w:asciiTheme="minorHAnsi" w:eastAsia="SimSun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305" w:type="dxa"/>
          </w:tcPr>
          <w:p w14:paraId="787C4DCE" w14:textId="77777777" w:rsidR="000F1776" w:rsidRPr="004A60F4" w:rsidRDefault="000F1776" w:rsidP="000F1776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6F93B809" w14:textId="77777777" w:rsidR="00822561" w:rsidRPr="00822561" w:rsidRDefault="00822561" w:rsidP="00822561">
      <w:pPr>
        <w:rPr>
          <w:rFonts w:asciiTheme="minorHAnsi" w:hAnsiTheme="minorHAnsi" w:cstheme="minorHAnsi"/>
          <w:sz w:val="20"/>
        </w:rPr>
      </w:pPr>
      <w:r w:rsidRPr="00822561">
        <w:rPr>
          <w:rFonts w:asciiTheme="minorHAnsi" w:hAnsiTheme="minorHAnsi" w:cstheme="minorHAnsi"/>
        </w:rPr>
        <w:t>UWAGA: Niespełnienie wymaganych parametrów i warunków spowoduje odrzucenie oferty.</w:t>
      </w: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67DEFCD3" w:rsidR="00D07ABC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0960FCE" w14:textId="47E933EB" w:rsidR="00822561" w:rsidRDefault="00822561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8798F5E" w14:textId="77777777" w:rsidR="00822561" w:rsidRPr="006117A9" w:rsidRDefault="00822561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5E5DD336" w14:textId="63BF7AF2" w:rsidR="002F5A9C" w:rsidRDefault="00BE49A8" w:rsidP="009137F5">
      <w:pPr>
        <w:tabs>
          <w:tab w:val="left" w:pos="2864"/>
        </w:tabs>
        <w:rPr>
          <w:rFonts w:asciiTheme="minorHAnsi" w:hAnsiTheme="minorHAnsi" w:cstheme="minorHAnsi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sectPr w:rsidR="002F5A9C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99E1B" w14:textId="77777777" w:rsidR="0090795B" w:rsidRDefault="0090795B">
      <w:r>
        <w:separator/>
      </w:r>
    </w:p>
  </w:endnote>
  <w:endnote w:type="continuationSeparator" w:id="0">
    <w:p w14:paraId="1A6B5776" w14:textId="77777777" w:rsidR="0090795B" w:rsidRDefault="00907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D4E2" w14:textId="77777777" w:rsidR="0090795B" w:rsidRDefault="0090795B">
      <w:r>
        <w:separator/>
      </w:r>
    </w:p>
  </w:footnote>
  <w:footnote w:type="continuationSeparator" w:id="0">
    <w:p w14:paraId="225C06C3" w14:textId="77777777" w:rsidR="0090795B" w:rsidRDefault="00907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5C4C39C4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0F1776" w:rsidRDefault="00BA512D" w:rsidP="00916F57">
    <w:pPr>
      <w:pStyle w:val="Nagwek"/>
      <w:jc w:val="center"/>
      <w:rPr>
        <w:rFonts w:asciiTheme="minorHAnsi" w:hAnsiTheme="minorHAnsi" w:cstheme="minorHAnsi"/>
        <w:b/>
        <w:sz w:val="20"/>
      </w:rPr>
    </w:pPr>
    <w:r w:rsidRPr="000F1776">
      <w:rPr>
        <w:rFonts w:asciiTheme="minorHAnsi" w:hAnsiTheme="minorHAnsi" w:cstheme="minorHAnsi"/>
        <w:b/>
        <w:sz w:val="20"/>
      </w:rPr>
      <w:t xml:space="preserve">Załącznik  </w:t>
    </w:r>
    <w:r w:rsidR="00D93D6E" w:rsidRPr="000F1776">
      <w:rPr>
        <w:rFonts w:asciiTheme="minorHAnsi" w:hAnsiTheme="minorHAnsi" w:cstheme="minorHAnsi"/>
        <w:b/>
        <w:sz w:val="20"/>
      </w:rPr>
      <w:t>N</w:t>
    </w:r>
    <w:r w:rsidRPr="000F1776">
      <w:rPr>
        <w:rFonts w:asciiTheme="minorHAnsi" w:hAnsiTheme="minorHAnsi" w:cstheme="minorHAnsi"/>
        <w:b/>
        <w:sz w:val="20"/>
      </w:rPr>
      <w:t>r</w:t>
    </w:r>
    <w:r w:rsidR="00D07ABC" w:rsidRPr="000F1776">
      <w:rPr>
        <w:rFonts w:asciiTheme="minorHAnsi" w:hAnsiTheme="minorHAnsi" w:cstheme="minorHAnsi"/>
        <w:b/>
        <w:sz w:val="20"/>
      </w:rPr>
      <w:t xml:space="preserve"> 2</w:t>
    </w:r>
    <w:r w:rsidRPr="000F1776">
      <w:rPr>
        <w:rFonts w:asciiTheme="minorHAnsi" w:hAnsiTheme="minorHAnsi" w:cstheme="minorHAnsi"/>
        <w:b/>
        <w:sz w:val="20"/>
      </w:rPr>
      <w:t xml:space="preserve">   </w:t>
    </w:r>
    <w:r w:rsidR="00916F57" w:rsidRPr="000F1776">
      <w:rPr>
        <w:rFonts w:asciiTheme="minorHAnsi" w:hAnsiTheme="minorHAnsi" w:cstheme="minorHAnsi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0F1776">
      <w:rPr>
        <w:rFonts w:asciiTheme="minorHAnsi" w:hAnsiTheme="minorHAnsi" w:cstheme="minorHAnsi"/>
        <w:b/>
        <w:sz w:val="20"/>
      </w:rPr>
      <w:t xml:space="preserve"> Strona</w:t>
    </w:r>
    <w:r w:rsidRPr="000F1776">
      <w:rPr>
        <w:rFonts w:asciiTheme="minorHAnsi" w:hAnsiTheme="minorHAnsi" w:cstheme="minorHAnsi"/>
        <w:sz w:val="20"/>
      </w:rPr>
      <w:t xml:space="preserve"> 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begin"/>
    </w:r>
    <w:r w:rsidRPr="000F1776">
      <w:rPr>
        <w:rStyle w:val="Numerstrony"/>
        <w:rFonts w:asciiTheme="minorHAnsi" w:hAnsiTheme="minorHAnsi" w:cstheme="minorHAnsi"/>
        <w:sz w:val="20"/>
      </w:rPr>
      <w:instrText xml:space="preserve"> PAGE </w:instrTex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separate"/>
    </w:r>
    <w:r w:rsidR="00B2154E" w:rsidRPr="000F1776">
      <w:rPr>
        <w:rStyle w:val="Numerstrony"/>
        <w:rFonts w:asciiTheme="minorHAnsi" w:hAnsiTheme="minorHAnsi" w:cstheme="minorHAnsi"/>
        <w:noProof/>
        <w:sz w:val="20"/>
      </w:rPr>
      <w:t>1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end"/>
    </w:r>
    <w:r w:rsidRPr="000F1776">
      <w:rPr>
        <w:rStyle w:val="Numerstrony"/>
        <w:rFonts w:asciiTheme="minorHAnsi" w:hAnsiTheme="minorHAnsi" w:cstheme="minorHAnsi"/>
        <w:sz w:val="20"/>
      </w:rPr>
      <w:t xml:space="preserve"> z 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begin"/>
    </w:r>
    <w:r w:rsidRPr="000F1776">
      <w:rPr>
        <w:rStyle w:val="Numerstrony"/>
        <w:rFonts w:asciiTheme="minorHAnsi" w:hAnsiTheme="minorHAnsi" w:cstheme="minorHAnsi"/>
        <w:sz w:val="20"/>
      </w:rPr>
      <w:instrText xml:space="preserve"> NUMPAGES </w:instrTex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separate"/>
    </w:r>
    <w:r w:rsidR="00B2154E" w:rsidRPr="000F1776">
      <w:rPr>
        <w:rStyle w:val="Numerstrony"/>
        <w:rFonts w:asciiTheme="minorHAnsi" w:hAnsiTheme="minorHAnsi" w:cstheme="minorHAnsi"/>
        <w:noProof/>
        <w:sz w:val="20"/>
      </w:rPr>
      <w:t>3</w:t>
    </w:r>
    <w:r w:rsidR="00397D98" w:rsidRPr="000F1776">
      <w:rPr>
        <w:rStyle w:val="Numerstrony"/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C4A3506"/>
    <w:multiLevelType w:val="hybridMultilevel"/>
    <w:tmpl w:val="A66E51A6"/>
    <w:lvl w:ilvl="0" w:tplc="7AC4512E">
      <w:start w:val="1"/>
      <w:numFmt w:val="bullet"/>
      <w:lvlText w:val="─"/>
      <w:lvlJc w:val="left"/>
      <w:pPr>
        <w:ind w:left="36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7AC4512E">
      <w:start w:val="1"/>
      <w:numFmt w:val="bullet"/>
      <w:lvlText w:val="─"/>
      <w:lvlJc w:val="left"/>
      <w:pPr>
        <w:ind w:left="108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12455D"/>
    <w:multiLevelType w:val="hybridMultilevel"/>
    <w:tmpl w:val="99B8CB2C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463AC"/>
    <w:multiLevelType w:val="hybridMultilevel"/>
    <w:tmpl w:val="F47E4478"/>
    <w:lvl w:ilvl="0" w:tplc="7AC4512E">
      <w:start w:val="1"/>
      <w:numFmt w:val="bullet"/>
      <w:lvlText w:val="─"/>
      <w:lvlJc w:val="left"/>
      <w:pPr>
        <w:ind w:left="720" w:hanging="360"/>
      </w:pPr>
      <w:rPr>
        <w:rFonts w:ascii="Calibri" w:hAnsi="Calibri" w:hint="default"/>
        <w:color w:val="808080" w:themeColor="background1" w:themeShade="8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2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53318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 w16cid:durableId="2011253275">
    <w:abstractNumId w:val="11"/>
  </w:num>
  <w:num w:numId="2" w16cid:durableId="149907526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06348299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47942761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79073422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46593104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33661716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208544548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6607530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39223617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61821187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160592067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168181602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3686601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15422168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50123975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6183816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219176021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34745160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154817586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914730296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2090958139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54147637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471487854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1972590548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86777472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755544630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694377075">
    <w:abstractNumId w:val="7"/>
  </w:num>
  <w:num w:numId="29" w16cid:durableId="125198888">
    <w:abstractNumId w:val="12"/>
  </w:num>
  <w:num w:numId="30" w16cid:durableId="705639304">
    <w:abstractNumId w:val="5"/>
  </w:num>
  <w:num w:numId="31" w16cid:durableId="1725176882">
    <w:abstractNumId w:val="3"/>
  </w:num>
  <w:num w:numId="32" w16cid:durableId="37509874">
    <w:abstractNumId w:val="9"/>
  </w:num>
  <w:num w:numId="33" w16cid:durableId="2058236958">
    <w:abstractNumId w:val="4"/>
  </w:num>
  <w:num w:numId="34" w16cid:durableId="536744316">
    <w:abstractNumId w:val="6"/>
  </w:num>
  <w:num w:numId="35" w16cid:durableId="241255522">
    <w:abstractNumId w:val="1"/>
  </w:num>
  <w:num w:numId="36" w16cid:durableId="887227411">
    <w:abstractNumId w:val="8"/>
  </w:num>
  <w:num w:numId="37" w16cid:durableId="1925914154">
    <w:abstractNumId w:val="10"/>
  </w:num>
  <w:num w:numId="38" w16cid:durableId="7641529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1776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95C2E"/>
    <w:rsid w:val="001A0B93"/>
    <w:rsid w:val="001A2E02"/>
    <w:rsid w:val="001A5A6D"/>
    <w:rsid w:val="001B7A2A"/>
    <w:rsid w:val="001C3AED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D98"/>
    <w:rsid w:val="003A18FE"/>
    <w:rsid w:val="003A3048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432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A60F4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41D5D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22561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9043B4"/>
    <w:rsid w:val="00907318"/>
    <w:rsid w:val="0090795B"/>
    <w:rsid w:val="00911E40"/>
    <w:rsid w:val="009137F5"/>
    <w:rsid w:val="00916F57"/>
    <w:rsid w:val="00922CE4"/>
    <w:rsid w:val="00924B84"/>
    <w:rsid w:val="00925844"/>
    <w:rsid w:val="00925F47"/>
    <w:rsid w:val="00926FD3"/>
    <w:rsid w:val="0093360E"/>
    <w:rsid w:val="00947654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A153E7"/>
    <w:rsid w:val="00A23D2D"/>
    <w:rsid w:val="00A43019"/>
    <w:rsid w:val="00A43866"/>
    <w:rsid w:val="00A45777"/>
    <w:rsid w:val="00A556F5"/>
    <w:rsid w:val="00A55BF6"/>
    <w:rsid w:val="00A66748"/>
    <w:rsid w:val="00A7027D"/>
    <w:rsid w:val="00A7366A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A14F3"/>
    <w:rsid w:val="00BA27C5"/>
    <w:rsid w:val="00BA4162"/>
    <w:rsid w:val="00BA512D"/>
    <w:rsid w:val="00BA7F78"/>
    <w:rsid w:val="00BB241D"/>
    <w:rsid w:val="00BB5306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5680"/>
    <w:rsid w:val="00F327FC"/>
    <w:rsid w:val="00F408A7"/>
    <w:rsid w:val="00F41B05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character" w:styleId="UyteHipercze">
    <w:name w:val="FollowedHyperlink"/>
    <w:basedOn w:val="Domylnaczcionkaakapitu"/>
    <w:semiHidden/>
    <w:rsid w:val="004A60F4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4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1282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2022-08-29T08:15:00Z</dcterms:created>
  <dcterms:modified xsi:type="dcterms:W3CDTF">2022-08-29T08:15:00Z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